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EBBAF0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662AE">
        <w:rPr>
          <w:bCs/>
          <w:noProof w:val="0"/>
          <w:sz w:val="24"/>
          <w:szCs w:val="24"/>
        </w:rPr>
        <w:t>13151</w:t>
      </w:r>
    </w:p>
    <w:p w14:paraId="11776FA6" w14:textId="1135E28E"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72653F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D2D69">
        <w:rPr>
          <w:rFonts w:cs="Arial"/>
          <w:b/>
          <w:bCs/>
          <w:sz w:val="24"/>
          <w:lang w:eastAsia="ja-JP"/>
        </w:rPr>
        <w:t>6.9.3.1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D2D5C5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2D69">
        <w:rPr>
          <w:rFonts w:ascii="Arial" w:hAnsi="Arial" w:cs="Arial"/>
          <w:b/>
          <w:bCs/>
          <w:sz w:val="24"/>
        </w:rPr>
        <w:t xml:space="preserve">On </w:t>
      </w:r>
      <w:r w:rsidR="00802445">
        <w:rPr>
          <w:rFonts w:ascii="Arial" w:hAnsi="Arial" w:cs="Arial"/>
          <w:b/>
          <w:bCs/>
          <w:sz w:val="24"/>
        </w:rPr>
        <w:t xml:space="preserve">RRC </w:t>
      </w:r>
      <w:r w:rsidR="002D2D69">
        <w:rPr>
          <w:rFonts w:ascii="Arial" w:hAnsi="Arial" w:cs="Arial"/>
          <w:b/>
          <w:bCs/>
          <w:sz w:val="24"/>
        </w:rPr>
        <w:t>R</w:t>
      </w:r>
      <w:r w:rsidR="00802445">
        <w:rPr>
          <w:rFonts w:ascii="Arial" w:hAnsi="Arial" w:cs="Arial"/>
          <w:b/>
          <w:bCs/>
          <w:sz w:val="24"/>
        </w:rPr>
        <w:t xml:space="preserve">econfigurations </w:t>
      </w:r>
      <w:r w:rsidR="002D2D69">
        <w:rPr>
          <w:rFonts w:ascii="Arial" w:hAnsi="Arial" w:cs="Arial"/>
          <w:b/>
          <w:bCs/>
          <w:sz w:val="24"/>
        </w:rPr>
        <w:t>in</w:t>
      </w:r>
      <w:r w:rsidR="00802445">
        <w:rPr>
          <w:rFonts w:ascii="Arial" w:hAnsi="Arial" w:cs="Arial"/>
          <w:b/>
          <w:bCs/>
          <w:sz w:val="24"/>
        </w:rPr>
        <w:t xml:space="preserve"> CHO</w:t>
      </w:r>
      <w:r w:rsidR="002D2D69">
        <w:rPr>
          <w:rFonts w:ascii="Arial" w:hAnsi="Arial" w:cs="Arial"/>
          <w:b/>
          <w:bCs/>
          <w:sz w:val="24"/>
        </w:rPr>
        <w:t>-prepared state</w:t>
      </w:r>
    </w:p>
    <w:p w14:paraId="56ECF8FB" w14:textId="5C188E59" w:rsidR="009B0CF1" w:rsidRDefault="00A209D6" w:rsidP="009B0CF1">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B0CF1">
        <w:rPr>
          <w:rFonts w:ascii="Arial" w:hAnsi="Arial" w:cs="Arial"/>
          <w:b/>
          <w:bCs/>
          <w:sz w:val="24"/>
        </w:rPr>
        <w:t>N</w:t>
      </w:r>
      <w:r w:rsidR="009B0CF1" w:rsidRPr="009B0CF1">
        <w:rPr>
          <w:rFonts w:ascii="Arial" w:hAnsi="Arial" w:cs="Arial"/>
          <w:b/>
          <w:bCs/>
          <w:sz w:val="24"/>
        </w:rPr>
        <w:t>R_Mob_enh</w:t>
      </w:r>
      <w:proofErr w:type="spellEnd"/>
      <w:r w:rsidR="009B0CF1" w:rsidRPr="009B0CF1">
        <w:rPr>
          <w:rFonts w:ascii="Arial" w:hAnsi="Arial" w:cs="Arial"/>
          <w:b/>
          <w:bCs/>
          <w:sz w:val="24"/>
        </w:rPr>
        <w:t>-Core - Release 16</w:t>
      </w:r>
    </w:p>
    <w:p w14:paraId="6FEB19D6" w14:textId="0F65FECF" w:rsidR="00A209D6" w:rsidRPr="00B266B0" w:rsidRDefault="00A209D6" w:rsidP="009B0CF1">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8D89F2" w14:textId="6ADAA4AC" w:rsidR="00526970" w:rsidRPr="008A1C37" w:rsidRDefault="00526970" w:rsidP="00526970">
      <w:pPr>
        <w:rPr>
          <w:lang w:val="en-US"/>
        </w:rPr>
      </w:pPr>
      <w:r>
        <w:t xml:space="preserve">An open question for conditional handover is still, how the source cell can reconfigure the UE after one or multiple CHO target candidates have been prepared. This has been also partially discussed in </w:t>
      </w:r>
      <w:r w:rsidRPr="00B54232">
        <w:t>[106#</w:t>
      </w:r>
      <w:proofErr w:type="gramStart"/>
      <w:r w:rsidRPr="00B54232">
        <w:t>42][</w:t>
      </w:r>
      <w:proofErr w:type="gramEnd"/>
      <w:r w:rsidRPr="00B54232">
        <w:t xml:space="preserve">NR/LTE/mob </w:t>
      </w:r>
      <w:proofErr w:type="spellStart"/>
      <w:r w:rsidRPr="00B54232">
        <w:t>enh</w:t>
      </w:r>
      <w:proofErr w:type="spellEnd"/>
      <w:r w:rsidRPr="00B54232">
        <w:t>] CHO configuration</w:t>
      </w:r>
      <w:r>
        <w:t xml:space="preserve"> e-mail discussion.</w:t>
      </w:r>
      <w:r w:rsidR="0008788E">
        <w:t xml:space="preserve"> This paper provides further thoughts on that topic.</w:t>
      </w:r>
    </w:p>
    <w:p w14:paraId="2BBFF540" w14:textId="1FE80EF1" w:rsidR="00A209D6" w:rsidRDefault="00A209D6" w:rsidP="00A209D6">
      <w:pPr>
        <w:pStyle w:val="Heading1"/>
      </w:pPr>
      <w:r w:rsidRPr="006E13D1">
        <w:t>2</w:t>
      </w:r>
      <w:r w:rsidRPr="006E13D1">
        <w:tab/>
      </w:r>
      <w:r w:rsidR="00526970">
        <w:t>Solutions</w:t>
      </w:r>
    </w:p>
    <w:p w14:paraId="7CB6A0B0" w14:textId="7B6F18EB" w:rsidR="005036A3" w:rsidRDefault="00526970" w:rsidP="005036A3">
      <w:r>
        <w:t>In many cases, RRC reconfigurations do not affect the configured CHO target candidates</w:t>
      </w:r>
      <w:r w:rsidR="00B4059B">
        <w:t>, e.g.</w:t>
      </w:r>
      <w:r w:rsidR="00FD6ED0">
        <w:t xml:space="preserve"> when just source-cell specific parameters are changed, which are not handed over to the target cell</w:t>
      </w:r>
      <w:r w:rsidR="008E79BF">
        <w:t>, such as source cell beam configuration</w:t>
      </w:r>
      <w:r>
        <w:t>. Consequently, the source cell can reconfigure the UE without any further action</w:t>
      </w:r>
      <w:r w:rsidR="00B4059B">
        <w:t xml:space="preserve"> towards the CHO target candidates</w:t>
      </w:r>
      <w:r>
        <w:t>.</w:t>
      </w:r>
      <w:r w:rsidR="0037525F">
        <w:t xml:space="preserve"> For these cases, RAN2 does not need to specify anything, </w:t>
      </w:r>
      <w:r w:rsidR="00B4059B">
        <w:t>we</w:t>
      </w:r>
      <w:r w:rsidR="0037525F">
        <w:t xml:space="preserve"> just should clarify that the source </w:t>
      </w:r>
      <w:proofErr w:type="spellStart"/>
      <w:r w:rsidR="0037525F">
        <w:t>gNB</w:t>
      </w:r>
      <w:proofErr w:type="spellEnd"/>
      <w:r w:rsidR="0037525F">
        <w:t xml:space="preserve"> </w:t>
      </w:r>
      <w:proofErr w:type="gramStart"/>
      <w:r w:rsidR="0037525F">
        <w:t>is allowed to</w:t>
      </w:r>
      <w:proofErr w:type="gramEnd"/>
      <w:r w:rsidR="0037525F">
        <w:t xml:space="preserve"> do that.</w:t>
      </w:r>
    </w:p>
    <w:p w14:paraId="5B02D85E" w14:textId="7A00167E" w:rsidR="00526970" w:rsidRPr="0037525F" w:rsidRDefault="00526970" w:rsidP="005036A3">
      <w:pPr>
        <w:rPr>
          <w:b/>
        </w:rPr>
      </w:pPr>
      <w:r w:rsidRPr="0037525F">
        <w:rPr>
          <w:b/>
        </w:rPr>
        <w:t>Proposal 1: RAN2 shall clarif</w:t>
      </w:r>
      <w:r w:rsidR="00B4059B">
        <w:rPr>
          <w:b/>
        </w:rPr>
        <w:t>y</w:t>
      </w:r>
      <w:r w:rsidRPr="0037525F">
        <w:rPr>
          <w:b/>
        </w:rPr>
        <w:t xml:space="preserve"> that the Source </w:t>
      </w:r>
      <w:proofErr w:type="spellStart"/>
      <w:r w:rsidRPr="0037525F">
        <w:rPr>
          <w:b/>
        </w:rPr>
        <w:t>gNB</w:t>
      </w:r>
      <w:proofErr w:type="spellEnd"/>
      <w:r w:rsidRPr="0037525F">
        <w:rPr>
          <w:b/>
        </w:rPr>
        <w:t xml:space="preserve"> may initiate RRC reconfigurations without further action</w:t>
      </w:r>
      <w:r w:rsidR="00B4059B">
        <w:rPr>
          <w:b/>
        </w:rPr>
        <w:t xml:space="preserve"> towards CHO target candidates</w:t>
      </w:r>
      <w:r w:rsidRPr="0037525F">
        <w:rPr>
          <w:b/>
        </w:rPr>
        <w:t xml:space="preserve"> even when CHO(s) have been configured for the same UE.</w:t>
      </w:r>
    </w:p>
    <w:p w14:paraId="53E65E1C" w14:textId="676CB0CB" w:rsidR="0037525F" w:rsidRDefault="00526970" w:rsidP="005036A3">
      <w:r>
        <w:t xml:space="preserve">However, there are also many cases where an RRC reconfiguration does affect the configured CHO target candidates, e.g. when the bearer is changed. In these cases, the only safe way to execute this reconfiguration is to cancel the CHO </w:t>
      </w:r>
      <w:r w:rsidR="0037525F">
        <w:t>before executing the reconfiguration, and configure the CHO again</w:t>
      </w:r>
      <w:r w:rsidR="00B4059B">
        <w:t xml:space="preserve"> after the reconfiguration</w:t>
      </w:r>
      <w:r w:rsidR="0037525F">
        <w:t xml:space="preserve">. All other methods will lead to race conditions. For instance, the UE may access the target with the old configuration, when the UE receives the RRC reconfiguration via air interface after the target has received it via </w:t>
      </w:r>
      <w:proofErr w:type="spellStart"/>
      <w:r w:rsidR="0037525F">
        <w:t>Xn</w:t>
      </w:r>
      <w:proofErr w:type="spellEnd"/>
      <w:r w:rsidR="0037525F">
        <w:t>. We cannot make sure that UE and target receive the new RRC configuration exactly at the same time.</w:t>
      </w:r>
    </w:p>
    <w:p w14:paraId="67807CAC" w14:textId="0F732E5D" w:rsidR="00526970" w:rsidRDefault="0037525F" w:rsidP="005036A3">
      <w:r>
        <w:t xml:space="preserve">Such a procedure can be realized purely based on </w:t>
      </w:r>
      <w:r w:rsidR="0035576A">
        <w:t xml:space="preserve">existing signalling as shown in </w:t>
      </w:r>
      <w:r w:rsidR="0035576A">
        <w:fldChar w:fldCharType="begin"/>
      </w:r>
      <w:r w:rsidR="0035576A">
        <w:instrText xml:space="preserve"> REF _Ref20496318 \h </w:instrText>
      </w:r>
      <w:r w:rsidR="0035576A">
        <w:fldChar w:fldCharType="separate"/>
      </w:r>
      <w:r w:rsidR="0035576A">
        <w:t xml:space="preserve">Figure </w:t>
      </w:r>
      <w:r w:rsidR="0035576A">
        <w:rPr>
          <w:noProof/>
        </w:rPr>
        <w:t>1</w:t>
      </w:r>
      <w:r w:rsidR="0035576A">
        <w:fldChar w:fldCharType="end"/>
      </w:r>
      <w:r w:rsidR="0035576A">
        <w:t xml:space="preserve">. We assume that target gNB1 and target gNB2 have been configured for CHO, and source </w:t>
      </w:r>
      <w:proofErr w:type="spellStart"/>
      <w:r w:rsidR="0035576A">
        <w:t>gNB</w:t>
      </w:r>
      <w:proofErr w:type="spellEnd"/>
      <w:r w:rsidR="0035576A">
        <w:t xml:space="preserve"> decides to perform a</w:t>
      </w:r>
      <w:r w:rsidR="00B4059B">
        <w:t>n</w:t>
      </w:r>
      <w:r w:rsidR="0035576A">
        <w:t xml:space="preserve"> RRC reconfiguration. In order to avoid race condition, the source </w:t>
      </w:r>
      <w:proofErr w:type="spellStart"/>
      <w:r w:rsidR="0035576A">
        <w:t>gNB</w:t>
      </w:r>
      <w:proofErr w:type="spellEnd"/>
      <w:r w:rsidR="0035576A">
        <w:t xml:space="preserve"> </w:t>
      </w:r>
      <w:proofErr w:type="gramStart"/>
      <w:r w:rsidR="0035576A">
        <w:t>has to</w:t>
      </w:r>
      <w:proofErr w:type="gramEnd"/>
      <w:r w:rsidR="0035576A">
        <w:t xml:space="preserve"> deconfigure the CHOs inside the UE first (to make sure that the UE does not access the target with the potentially outdated RRC configuration), and then </w:t>
      </w:r>
      <w:r w:rsidR="00B4059B">
        <w:t xml:space="preserve">has </w:t>
      </w:r>
      <w:r w:rsidR="0035576A">
        <w:t xml:space="preserve">to cancel the CHO inside the target candidates. Then the source can execute the RRC reconfiguration and </w:t>
      </w:r>
      <w:r w:rsidR="002C2637">
        <w:t>afterwards</w:t>
      </w:r>
      <w:r w:rsidR="0035576A">
        <w:t xml:space="preserve"> prepare the previously cancelled CHOs again, now with the new RRC configuration.</w:t>
      </w:r>
    </w:p>
    <w:p w14:paraId="41387814" w14:textId="77777777" w:rsidR="0035576A" w:rsidRDefault="00276C88" w:rsidP="0035576A">
      <w:pPr>
        <w:keepNext/>
        <w:jc w:val="center"/>
      </w:pPr>
      <w:r>
        <w:object w:dxaOrig="9432" w:dyaOrig="7356" w14:anchorId="17744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59.5pt" o:ole="">
            <v:imagedata r:id="rId13" o:title=""/>
          </v:shape>
          <o:OLEObject Type="Embed" ProgID="Mscgen.Chart" ShapeID="_x0000_i1025" DrawAspect="Content" ObjectID="_1631618472" r:id="rId14"/>
        </w:object>
      </w:r>
    </w:p>
    <w:p w14:paraId="200701C5" w14:textId="3EA39B24" w:rsidR="005036A3" w:rsidRDefault="0035576A" w:rsidP="0035576A">
      <w:pPr>
        <w:pStyle w:val="Caption"/>
        <w:jc w:val="center"/>
      </w:pPr>
      <w:bookmarkStart w:id="0" w:name="_Ref20496318"/>
      <w:r>
        <w:t xml:space="preserve">Figure </w:t>
      </w:r>
      <w:r w:rsidR="00857F27">
        <w:fldChar w:fldCharType="begin"/>
      </w:r>
      <w:r w:rsidR="00857F27">
        <w:instrText xml:space="preserve"> SEQ Figure \* ARABIC </w:instrText>
      </w:r>
      <w:r w:rsidR="00857F27">
        <w:fldChar w:fldCharType="separate"/>
      </w:r>
      <w:r>
        <w:rPr>
          <w:noProof/>
        </w:rPr>
        <w:t>1</w:t>
      </w:r>
      <w:r w:rsidR="00857F27">
        <w:rPr>
          <w:noProof/>
        </w:rPr>
        <w:fldChar w:fldCharType="end"/>
      </w:r>
      <w:bookmarkEnd w:id="0"/>
      <w:r>
        <w:t xml:space="preserve"> Message Sequence Chart for proper RRC reconfiguration</w:t>
      </w:r>
    </w:p>
    <w:p w14:paraId="2CE61ED0" w14:textId="784528A4" w:rsidR="0035576A" w:rsidRDefault="0035576A" w:rsidP="005036A3">
      <w:r>
        <w:t xml:space="preserve">This procedure can be simplified as illustrated in </w:t>
      </w:r>
      <w:r>
        <w:fldChar w:fldCharType="begin"/>
      </w:r>
      <w:r>
        <w:instrText xml:space="preserve"> REF _Ref20496638 \h </w:instrText>
      </w:r>
      <w:r>
        <w:fldChar w:fldCharType="separate"/>
      </w:r>
      <w:r>
        <w:t xml:space="preserve">Figure </w:t>
      </w:r>
      <w:r>
        <w:rPr>
          <w:noProof/>
        </w:rPr>
        <w:t>2</w:t>
      </w:r>
      <w:r>
        <w:fldChar w:fldCharType="end"/>
      </w:r>
      <w:r>
        <w:t xml:space="preserve">. Deconfiguration of CHOs and RRC reconfiguration can be done in one go, since the UE will not access the target cell afterwards. Explicit cancellation of the CHO via </w:t>
      </w:r>
      <w:proofErr w:type="spellStart"/>
      <w:r>
        <w:t>Xn</w:t>
      </w:r>
      <w:proofErr w:type="spellEnd"/>
      <w:r>
        <w:t xml:space="preserve"> could be saved, if it </w:t>
      </w:r>
      <w:r w:rsidR="002C2637">
        <w:t>is</w:t>
      </w:r>
      <w:r>
        <w:t xml:space="preserve"> clarified that a new CHO Request for the same UE and the same target cell will overwrite and thereby inherently cancel an old CHO preparation. We are proposing this in our accompanying paper in RAN3 </w:t>
      </w:r>
      <w:r w:rsidR="00802445">
        <w:fldChar w:fldCharType="begin"/>
      </w:r>
      <w:r w:rsidR="00802445">
        <w:instrText xml:space="preserve"> REF _Ref20502761 \r \h </w:instrText>
      </w:r>
      <w:r w:rsidR="00802445">
        <w:fldChar w:fldCharType="separate"/>
      </w:r>
      <w:r w:rsidR="00802445">
        <w:t>[1]</w:t>
      </w:r>
      <w:r w:rsidR="00802445">
        <w:fldChar w:fldCharType="end"/>
      </w:r>
      <w:r>
        <w:t>.</w:t>
      </w:r>
    </w:p>
    <w:p w14:paraId="7B6F475A" w14:textId="77777777" w:rsidR="0035576A" w:rsidRDefault="00276C88" w:rsidP="0035576A">
      <w:pPr>
        <w:keepNext/>
        <w:jc w:val="center"/>
      </w:pPr>
      <w:r>
        <w:object w:dxaOrig="9432" w:dyaOrig="6324" w14:anchorId="49839AB9">
          <v:shape id="_x0000_i1026" type="#_x0000_t75" style="width:336pt;height:222pt" o:ole="">
            <v:imagedata r:id="rId15" o:title=""/>
          </v:shape>
          <o:OLEObject Type="Embed" ProgID="Mscgen.Chart" ShapeID="_x0000_i1026" DrawAspect="Content" ObjectID="_1631618473" r:id="rId16"/>
        </w:object>
      </w:r>
    </w:p>
    <w:p w14:paraId="30ED80C9" w14:textId="498A00DC" w:rsidR="00276C88" w:rsidRDefault="0035576A" w:rsidP="0035576A">
      <w:pPr>
        <w:pStyle w:val="Caption"/>
        <w:jc w:val="center"/>
      </w:pPr>
      <w:bookmarkStart w:id="1" w:name="_Ref20496638"/>
      <w:r>
        <w:t xml:space="preserve">Figure </w:t>
      </w:r>
      <w:r w:rsidR="00857F27">
        <w:fldChar w:fldCharType="begin"/>
      </w:r>
      <w:r w:rsidR="00857F27">
        <w:instrText xml:space="preserve"> SEQ Figure \* ARABIC </w:instrText>
      </w:r>
      <w:r w:rsidR="00857F27">
        <w:fldChar w:fldCharType="separate"/>
      </w:r>
      <w:r>
        <w:rPr>
          <w:noProof/>
        </w:rPr>
        <w:t>2</w:t>
      </w:r>
      <w:r w:rsidR="00857F27">
        <w:rPr>
          <w:noProof/>
        </w:rPr>
        <w:fldChar w:fldCharType="end"/>
      </w:r>
      <w:bookmarkEnd w:id="1"/>
      <w:r>
        <w:t xml:space="preserve"> Simplified Message Sequence Chart for proper RRC reconfiguration</w:t>
      </w:r>
    </w:p>
    <w:p w14:paraId="4713467A" w14:textId="763EAA3E" w:rsidR="00276C88" w:rsidRPr="005036A3" w:rsidRDefault="0035576A" w:rsidP="005036A3">
      <w:r>
        <w:t>We believe that this procedure shall be assumed as the baseline for RRC reconfigurations which have an impact on the CHO target candidates.</w:t>
      </w:r>
    </w:p>
    <w:p w14:paraId="7B46A7C4" w14:textId="403BFB9A" w:rsidR="00D26997" w:rsidRDefault="00D26997" w:rsidP="00E839A8">
      <w:pPr>
        <w:jc w:val="both"/>
        <w:rPr>
          <w:b/>
        </w:rPr>
      </w:pPr>
      <w:r>
        <w:rPr>
          <w:b/>
        </w:rPr>
        <w:t xml:space="preserve">Proposal </w:t>
      </w:r>
      <w:r w:rsidR="0035576A">
        <w:rPr>
          <w:b/>
        </w:rPr>
        <w:t>2</w:t>
      </w:r>
      <w:r>
        <w:rPr>
          <w:b/>
        </w:rPr>
        <w:t>:</w:t>
      </w:r>
      <w:r w:rsidR="0035576A">
        <w:rPr>
          <w:b/>
        </w:rPr>
        <w:t xml:space="preserve"> RAN2 assumes the procedure in </w:t>
      </w:r>
      <w:r w:rsidR="0035576A" w:rsidRPr="0035576A">
        <w:rPr>
          <w:b/>
        </w:rPr>
        <w:fldChar w:fldCharType="begin"/>
      </w:r>
      <w:r w:rsidR="0035576A" w:rsidRPr="0035576A">
        <w:rPr>
          <w:b/>
        </w:rPr>
        <w:instrText xml:space="preserve"> REF _Ref20496638 \h  \* MERGEFORMAT </w:instrText>
      </w:r>
      <w:r w:rsidR="0035576A" w:rsidRPr="0035576A">
        <w:rPr>
          <w:b/>
        </w:rPr>
      </w:r>
      <w:r w:rsidR="0035576A" w:rsidRPr="0035576A">
        <w:rPr>
          <w:b/>
        </w:rPr>
        <w:fldChar w:fldCharType="separate"/>
      </w:r>
      <w:r w:rsidR="0035576A" w:rsidRPr="0035576A">
        <w:rPr>
          <w:b/>
        </w:rPr>
        <w:t xml:space="preserve">Figure </w:t>
      </w:r>
      <w:r w:rsidR="0035576A" w:rsidRPr="0035576A">
        <w:rPr>
          <w:b/>
          <w:noProof/>
        </w:rPr>
        <w:t>2</w:t>
      </w:r>
      <w:r w:rsidR="0035576A" w:rsidRPr="0035576A">
        <w:rPr>
          <w:b/>
        </w:rPr>
        <w:fldChar w:fldCharType="end"/>
      </w:r>
      <w:r w:rsidR="0035576A" w:rsidRPr="0035576A">
        <w:rPr>
          <w:b/>
        </w:rPr>
        <w:t xml:space="preserve"> </w:t>
      </w:r>
      <w:r w:rsidR="0008788E">
        <w:rPr>
          <w:b/>
        </w:rPr>
        <w:t>i</w:t>
      </w:r>
      <w:r w:rsidR="0035576A">
        <w:rPr>
          <w:b/>
        </w:rPr>
        <w:t>s a baseline for RRC reconfigurations affecting the CHO target candidates</w:t>
      </w:r>
      <w:r>
        <w:rPr>
          <w:b/>
        </w:rPr>
        <w:t>.</w:t>
      </w:r>
      <w:r w:rsidR="0035576A">
        <w:rPr>
          <w:b/>
        </w:rPr>
        <w:t xml:space="preserve"> No additional signalling </w:t>
      </w:r>
      <w:proofErr w:type="gramStart"/>
      <w:r w:rsidR="0035576A">
        <w:rPr>
          <w:b/>
        </w:rPr>
        <w:t>has to</w:t>
      </w:r>
      <w:proofErr w:type="gramEnd"/>
      <w:r w:rsidR="0035576A">
        <w:rPr>
          <w:b/>
        </w:rPr>
        <w:t xml:space="preserve"> be introduced; RAN3 shall clarify that HO Request will overwrite previous HO Requests.</w:t>
      </w:r>
    </w:p>
    <w:p w14:paraId="7E8894B7" w14:textId="7E4E6C65" w:rsidR="0035576A" w:rsidRDefault="0035576A" w:rsidP="0035576A">
      <w:r>
        <w:t xml:space="preserve">The drawback of this method is that the UE </w:t>
      </w:r>
      <w:proofErr w:type="gramStart"/>
      <w:r>
        <w:t>has to</w:t>
      </w:r>
      <w:proofErr w:type="gramEnd"/>
      <w:r>
        <w:t xml:space="preserve"> survive without CHO preparation</w:t>
      </w:r>
      <w:r w:rsidR="002C2637">
        <w:t xml:space="preserve"> for a short period</w:t>
      </w:r>
      <w:r>
        <w:t xml:space="preserve">. If there is a sudden drop in the source cell quality, there would be some risk of a failure. Avoiding this short gap raises a race condition, and we will have to find additional solutions to resolve these race conditions. </w:t>
      </w:r>
      <w:proofErr w:type="gramStart"/>
      <w:r>
        <w:t>Later on</w:t>
      </w:r>
      <w:proofErr w:type="gramEnd"/>
      <w:r>
        <w:t xml:space="preserve">, we will show that </w:t>
      </w:r>
      <w:r>
        <w:lastRenderedPageBreak/>
        <w:t xml:space="preserve">these solutions will require more standardization effort. Furthermore, with proper configuration of CHO, these reconfigurations during prepared CHOs will be rather rare events, so that the risk and the signalling overhead are not very relevant. </w:t>
      </w:r>
    </w:p>
    <w:p w14:paraId="638775D1" w14:textId="2011CBD5" w:rsidR="0035576A" w:rsidRPr="005036A3" w:rsidRDefault="0035576A" w:rsidP="0035576A">
      <w:r>
        <w:t xml:space="preserve">We have explained above that the source </w:t>
      </w:r>
      <w:proofErr w:type="spellStart"/>
      <w:r>
        <w:t>gNB</w:t>
      </w:r>
      <w:proofErr w:type="spellEnd"/>
      <w:r>
        <w:t xml:space="preserve"> decides, whether an RRC reconfiguration does not affect the CHO target candidates (and no further action </w:t>
      </w:r>
      <w:r w:rsidR="002C2637">
        <w:t xml:space="preserve">towards the CHO target candidates </w:t>
      </w:r>
      <w:r>
        <w:t xml:space="preserve">is needed), or whether it does affect the CHO target candidates (and the procedure in </w:t>
      </w:r>
      <w:r>
        <w:fldChar w:fldCharType="begin"/>
      </w:r>
      <w:r>
        <w:instrText xml:space="preserve"> REF _Ref20496638 \h </w:instrText>
      </w:r>
      <w:r>
        <w:fldChar w:fldCharType="separate"/>
      </w:r>
      <w:r>
        <w:t xml:space="preserve">Figure </w:t>
      </w:r>
      <w:r>
        <w:rPr>
          <w:noProof/>
        </w:rPr>
        <w:t>2</w:t>
      </w:r>
      <w:r>
        <w:fldChar w:fldCharType="end"/>
      </w:r>
      <w:r>
        <w:t xml:space="preserve"> has to be executed). It </w:t>
      </w:r>
      <w:proofErr w:type="gramStart"/>
      <w:r>
        <w:t>has to</w:t>
      </w:r>
      <w:proofErr w:type="gramEnd"/>
      <w:r>
        <w:t xml:space="preserve"> be clarified, whether this decision is left to the implementation of the source </w:t>
      </w:r>
      <w:proofErr w:type="spellStart"/>
      <w:r>
        <w:t>gNB</w:t>
      </w:r>
      <w:proofErr w:type="spellEnd"/>
      <w:r>
        <w:t xml:space="preserve">, or whether RAN2 provides a clear guidance (i.e. by categorizing the RRC reconfigurations), or whether even the target </w:t>
      </w:r>
      <w:proofErr w:type="spellStart"/>
      <w:r>
        <w:t>gNBs</w:t>
      </w:r>
      <w:proofErr w:type="spellEnd"/>
      <w:r>
        <w:t xml:space="preserve"> can influence the source </w:t>
      </w:r>
      <w:proofErr w:type="spellStart"/>
      <w:r>
        <w:t>gNB’s</w:t>
      </w:r>
      <w:proofErr w:type="spellEnd"/>
      <w:r>
        <w:t xml:space="preserve"> decision</w:t>
      </w:r>
      <w:r w:rsidR="00FD6ED0">
        <w:t xml:space="preserve"> regarding what can be still reconfigured, after entering CHO-prepared state</w:t>
      </w:r>
      <w:r>
        <w:t>.</w:t>
      </w:r>
    </w:p>
    <w:p w14:paraId="3E4F1F0E" w14:textId="58300ACD" w:rsidR="0035576A" w:rsidRDefault="0035576A" w:rsidP="00E839A8">
      <w:pPr>
        <w:jc w:val="both"/>
        <w:rPr>
          <w:b/>
        </w:rPr>
      </w:pPr>
      <w:r>
        <w:rPr>
          <w:b/>
        </w:rPr>
        <w:t xml:space="preserve">Proposal 3: It </w:t>
      </w:r>
      <w:r w:rsidR="00FD6ED0">
        <w:rPr>
          <w:b/>
        </w:rPr>
        <w:t>shall be discussed</w:t>
      </w:r>
      <w:r>
        <w:rPr>
          <w:b/>
        </w:rPr>
        <w:t xml:space="preserve"> whether the decision how to execute a</w:t>
      </w:r>
      <w:r w:rsidR="00B45D99">
        <w:rPr>
          <w:b/>
        </w:rPr>
        <w:t>n</w:t>
      </w:r>
      <w:r>
        <w:rPr>
          <w:b/>
        </w:rPr>
        <w:t xml:space="preserve"> RRC reconfiguration is up to the source </w:t>
      </w:r>
      <w:proofErr w:type="spellStart"/>
      <w:r>
        <w:rPr>
          <w:b/>
        </w:rPr>
        <w:t>gNB’s</w:t>
      </w:r>
      <w:proofErr w:type="spellEnd"/>
      <w:r>
        <w:rPr>
          <w:b/>
        </w:rPr>
        <w:t xml:space="preserve"> implementation, or whether 3GPP specifies some guidance for this decision.</w:t>
      </w:r>
    </w:p>
    <w:p w14:paraId="6EB0597D" w14:textId="33BAA2DD" w:rsidR="0035576A" w:rsidRPr="005036A3" w:rsidRDefault="0035576A" w:rsidP="0035576A">
      <w:r>
        <w:t>If the UE shall keep its CHO configuration (to be able to execute CHO at any time), there is always an uncertainty</w:t>
      </w:r>
      <w:r w:rsidR="00D46A43">
        <w:t xml:space="preserve"> that UE and CHO target candidates have different RRC configuration</w:t>
      </w:r>
      <w:r w:rsidR="008D01CF">
        <w:t>s</w:t>
      </w:r>
      <w:r w:rsidR="00D46A43">
        <w:t xml:space="preserve"> which inevitably leads to a failure (note that for uncritical RRC reconfigurations we don’t even inform the CHO target candidates). Avoiding such a failure requires that UE and CHO target candidate, </w:t>
      </w:r>
      <w:proofErr w:type="gramStart"/>
      <w:r w:rsidR="00D46A43">
        <w:t>at the moment</w:t>
      </w:r>
      <w:proofErr w:type="gramEnd"/>
      <w:r w:rsidR="00D46A43">
        <w:t xml:space="preserve"> of CHO execution, align their RRC configuration</w:t>
      </w:r>
      <w:r w:rsidR="008D01CF">
        <w:t>,</w:t>
      </w:r>
      <w:r w:rsidR="00D46A43">
        <w:t xml:space="preserve"> e.g. by using different tag</w:t>
      </w:r>
      <w:r w:rsidR="002C2637">
        <w:t>s</w:t>
      </w:r>
      <w:r w:rsidR="00D46A43">
        <w:t xml:space="preserve"> for the previous and the new configuration. </w:t>
      </w:r>
      <w:r w:rsidR="008D01CF">
        <w:t>However, the details of t</w:t>
      </w:r>
      <w:r w:rsidR="00D46A43">
        <w:t>hese solutions are FFS.</w:t>
      </w:r>
    </w:p>
    <w:p w14:paraId="77C5E900" w14:textId="369D6973" w:rsidR="0035576A" w:rsidRPr="00E839A8" w:rsidRDefault="0035576A" w:rsidP="00E839A8">
      <w:pPr>
        <w:jc w:val="both"/>
        <w:rPr>
          <w:b/>
        </w:rPr>
      </w:pPr>
      <w:r>
        <w:rPr>
          <w:b/>
        </w:rPr>
        <w:t xml:space="preserve">Proposal </w:t>
      </w:r>
      <w:r w:rsidR="00D46A43">
        <w:rPr>
          <w:b/>
        </w:rPr>
        <w:t>4</w:t>
      </w:r>
      <w:r>
        <w:rPr>
          <w:b/>
        </w:rPr>
        <w:t>:</w:t>
      </w:r>
      <w:r w:rsidR="00D46A43">
        <w:rPr>
          <w:b/>
        </w:rPr>
        <w:t xml:space="preserve"> More elaborate solutions than the proposed baseline require more standardization effort and shall be FFS.</w:t>
      </w:r>
    </w:p>
    <w:p w14:paraId="5FF2457F" w14:textId="1A06C53D" w:rsidR="00A209D6" w:rsidRPr="006E13D1" w:rsidRDefault="005260B2" w:rsidP="00A209D6">
      <w:pPr>
        <w:pStyle w:val="Heading1"/>
      </w:pPr>
      <w:r>
        <w:t>3</w:t>
      </w:r>
      <w:r w:rsidR="00A209D6" w:rsidRPr="006E13D1">
        <w:tab/>
      </w:r>
      <w:r w:rsidR="008C3057">
        <w:t>Conclusion</w:t>
      </w:r>
    </w:p>
    <w:p w14:paraId="6C60FFDC" w14:textId="0FEA3D34" w:rsidR="00A209D6" w:rsidRDefault="008D01CF" w:rsidP="00A209D6">
      <w:r>
        <w:t>This paper addressed the topic of RRC Reconfigurations after providing CHO configuration. We made the following proposals:</w:t>
      </w:r>
    </w:p>
    <w:p w14:paraId="564EC5B4" w14:textId="77777777" w:rsidR="008D01CF" w:rsidRPr="0037525F" w:rsidRDefault="008D01CF" w:rsidP="008D01CF">
      <w:pPr>
        <w:rPr>
          <w:b/>
        </w:rPr>
      </w:pPr>
      <w:r w:rsidRPr="0037525F">
        <w:rPr>
          <w:b/>
        </w:rPr>
        <w:t>Proposal 1: RAN2 shall clarif</w:t>
      </w:r>
      <w:r>
        <w:rPr>
          <w:b/>
        </w:rPr>
        <w:t>y</w:t>
      </w:r>
      <w:r w:rsidRPr="0037525F">
        <w:rPr>
          <w:b/>
        </w:rPr>
        <w:t xml:space="preserve"> that the Source </w:t>
      </w:r>
      <w:proofErr w:type="spellStart"/>
      <w:r w:rsidRPr="0037525F">
        <w:rPr>
          <w:b/>
        </w:rPr>
        <w:t>gNB</w:t>
      </w:r>
      <w:proofErr w:type="spellEnd"/>
      <w:r w:rsidRPr="0037525F">
        <w:rPr>
          <w:b/>
        </w:rPr>
        <w:t xml:space="preserve"> may initiate RRC reconfigurations without further action</w:t>
      </w:r>
      <w:r>
        <w:rPr>
          <w:b/>
        </w:rPr>
        <w:t xml:space="preserve"> towards CHO target candidates</w:t>
      </w:r>
      <w:r w:rsidRPr="0037525F">
        <w:rPr>
          <w:b/>
        </w:rPr>
        <w:t xml:space="preserve"> even when CHO(s) have been configured for the same UE.</w:t>
      </w:r>
    </w:p>
    <w:p w14:paraId="47DD6A1B" w14:textId="77777777" w:rsidR="008D01CF" w:rsidRDefault="008D01CF" w:rsidP="008D01CF">
      <w:pPr>
        <w:jc w:val="both"/>
        <w:rPr>
          <w:b/>
        </w:rPr>
      </w:pPr>
      <w:r>
        <w:rPr>
          <w:b/>
        </w:rPr>
        <w:t xml:space="preserve">Proposal 2: RAN2 assumes the procedure in </w:t>
      </w:r>
      <w:r w:rsidRPr="0035576A">
        <w:rPr>
          <w:b/>
        </w:rPr>
        <w:fldChar w:fldCharType="begin"/>
      </w:r>
      <w:r w:rsidRPr="0035576A">
        <w:rPr>
          <w:b/>
        </w:rPr>
        <w:instrText xml:space="preserve"> REF _Ref20496638 \h  \* MERGEFORMAT </w:instrText>
      </w:r>
      <w:r w:rsidRPr="0035576A">
        <w:rPr>
          <w:b/>
        </w:rPr>
      </w:r>
      <w:r w:rsidRPr="0035576A">
        <w:rPr>
          <w:b/>
        </w:rPr>
        <w:fldChar w:fldCharType="separate"/>
      </w:r>
      <w:r w:rsidRPr="0035576A">
        <w:rPr>
          <w:b/>
        </w:rPr>
        <w:t xml:space="preserve">Figure </w:t>
      </w:r>
      <w:r w:rsidRPr="0035576A">
        <w:rPr>
          <w:b/>
          <w:noProof/>
        </w:rPr>
        <w:t>2</w:t>
      </w:r>
      <w:r w:rsidRPr="0035576A">
        <w:rPr>
          <w:b/>
        </w:rPr>
        <w:fldChar w:fldCharType="end"/>
      </w:r>
      <w:r w:rsidRPr="0035576A">
        <w:rPr>
          <w:b/>
        </w:rPr>
        <w:t xml:space="preserve"> </w:t>
      </w:r>
      <w:r>
        <w:rPr>
          <w:b/>
        </w:rPr>
        <w:t xml:space="preserve">is a baseline for RRC reconfigurations affecting the CHO target candidates. No additional signalling </w:t>
      </w:r>
      <w:proofErr w:type="gramStart"/>
      <w:r>
        <w:rPr>
          <w:b/>
        </w:rPr>
        <w:t>has to</w:t>
      </w:r>
      <w:proofErr w:type="gramEnd"/>
      <w:r>
        <w:rPr>
          <w:b/>
        </w:rPr>
        <w:t xml:space="preserve"> be introduced; RAN3 shall clarify that HO Request will overwrite previous HO Requests.</w:t>
      </w:r>
    </w:p>
    <w:p w14:paraId="01C46AB5" w14:textId="77777777" w:rsidR="008D01CF" w:rsidRDefault="008D01CF" w:rsidP="008D01CF">
      <w:pPr>
        <w:jc w:val="both"/>
        <w:rPr>
          <w:b/>
        </w:rPr>
      </w:pPr>
      <w:r>
        <w:rPr>
          <w:b/>
        </w:rPr>
        <w:t xml:space="preserve">Proposal 3: It shall be discussed whether the decision how to execute an RRC reconfiguration is up to the source </w:t>
      </w:r>
      <w:proofErr w:type="spellStart"/>
      <w:r>
        <w:rPr>
          <w:b/>
        </w:rPr>
        <w:t>gNB’s</w:t>
      </w:r>
      <w:proofErr w:type="spellEnd"/>
      <w:r>
        <w:rPr>
          <w:b/>
        </w:rPr>
        <w:t xml:space="preserve"> implementation, or whether 3GPP specifies some guidance for this decision.</w:t>
      </w:r>
    </w:p>
    <w:p w14:paraId="283AB84D" w14:textId="39E672F4" w:rsidR="008D01CF" w:rsidRPr="00857F27" w:rsidRDefault="008D01CF" w:rsidP="00857F27">
      <w:pPr>
        <w:jc w:val="both"/>
        <w:rPr>
          <w:b/>
        </w:rPr>
      </w:pPr>
      <w:r>
        <w:rPr>
          <w:b/>
        </w:rPr>
        <w:t>Proposal 4: More elaborate solutions than the proposed baseline require more standardization effort and shall be FFS.</w:t>
      </w:r>
    </w:p>
    <w:p w14:paraId="405F12C6" w14:textId="10C97D8B" w:rsidR="00B45D99" w:rsidRPr="006E13D1" w:rsidRDefault="005260B2" w:rsidP="00B45D99">
      <w:pPr>
        <w:pStyle w:val="Heading1"/>
      </w:pPr>
      <w:r>
        <w:t>4</w:t>
      </w:r>
      <w:r w:rsidR="00B45D99" w:rsidRPr="006E13D1">
        <w:tab/>
      </w:r>
      <w:r w:rsidR="00B45D99">
        <w:t>References</w:t>
      </w:r>
    </w:p>
    <w:p w14:paraId="1A5FF998" w14:textId="58D4DAFF" w:rsidR="00B45D99" w:rsidRDefault="00B45D99" w:rsidP="00B45D99">
      <w:pPr>
        <w:pStyle w:val="ListParagraph"/>
        <w:numPr>
          <w:ilvl w:val="0"/>
          <w:numId w:val="13"/>
        </w:numPr>
      </w:pPr>
      <w:bookmarkStart w:id="2" w:name="_Ref20502761"/>
      <w:r>
        <w:t>R3-19</w:t>
      </w:r>
      <w:r w:rsidR="005260B2">
        <w:t>5204</w:t>
      </w:r>
      <w:r>
        <w:t xml:space="preserve"> </w:t>
      </w:r>
      <w:r w:rsidRPr="00857F27">
        <w:rPr>
          <w:i/>
        </w:rPr>
        <w:t>Handling of RRC reconfiguration during CHO</w:t>
      </w:r>
      <w:r>
        <w:t xml:space="preserve">, RAN3#105bis, Chongqing, China, </w:t>
      </w:r>
      <w:r w:rsidR="005260B2">
        <w:t>14 –</w:t>
      </w:r>
      <w:bookmarkStart w:id="3" w:name="_GoBack"/>
      <w:bookmarkEnd w:id="3"/>
      <w:r w:rsidR="005260B2">
        <w:t xml:space="preserve"> 18 of </w:t>
      </w:r>
      <w:r>
        <w:t>October 2019.</w:t>
      </w:r>
      <w:bookmarkEnd w:id="2"/>
    </w:p>
    <w:p w14:paraId="5FEC2F97" w14:textId="77777777" w:rsidR="00B45D99" w:rsidRDefault="00B45D99" w:rsidP="00B45D99"/>
    <w:p w14:paraId="3849E9E2" w14:textId="069E51C8" w:rsidR="00E839A8" w:rsidRDefault="00E839A8" w:rsidP="00A209D6"/>
    <w:sectPr w:rsidR="00E839A8" w:rsidSect="005036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618D2" w14:textId="77777777" w:rsidR="001F19B3" w:rsidRDefault="001F19B3">
      <w:r>
        <w:separator/>
      </w:r>
    </w:p>
  </w:endnote>
  <w:endnote w:type="continuationSeparator" w:id="0">
    <w:p w14:paraId="6A086168" w14:textId="77777777" w:rsidR="001F19B3" w:rsidRDefault="001F19B3">
      <w:r>
        <w:continuationSeparator/>
      </w:r>
    </w:p>
  </w:endnote>
  <w:endnote w:type="continuationNotice" w:id="1">
    <w:p w14:paraId="016844C9" w14:textId="77777777" w:rsidR="001F19B3" w:rsidRDefault="001F1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AB8BB" w14:textId="77777777" w:rsidR="001F19B3" w:rsidRDefault="001F19B3">
      <w:r>
        <w:separator/>
      </w:r>
    </w:p>
  </w:footnote>
  <w:footnote w:type="continuationSeparator" w:id="0">
    <w:p w14:paraId="411034AA" w14:textId="77777777" w:rsidR="001F19B3" w:rsidRDefault="001F19B3">
      <w:r>
        <w:continuationSeparator/>
      </w:r>
    </w:p>
  </w:footnote>
  <w:footnote w:type="continuationNotice" w:id="1">
    <w:p w14:paraId="02396657" w14:textId="77777777" w:rsidR="001F19B3" w:rsidRDefault="001F19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EC03ED"/>
    <w:multiLevelType w:val="hybridMultilevel"/>
    <w:tmpl w:val="AD38F034"/>
    <w:lvl w:ilvl="0" w:tplc="AA4EF41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5A72696"/>
    <w:multiLevelType w:val="hybridMultilevel"/>
    <w:tmpl w:val="29841B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364989"/>
    <w:multiLevelType w:val="hybridMultilevel"/>
    <w:tmpl w:val="49DCFC80"/>
    <w:lvl w:ilvl="0" w:tplc="94B0BF6C">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86857AC"/>
    <w:multiLevelType w:val="hybridMultilevel"/>
    <w:tmpl w:val="50F0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9A177F1"/>
    <w:multiLevelType w:val="hybridMultilevel"/>
    <w:tmpl w:val="3D2ACB06"/>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3"/>
  </w:num>
  <w:num w:numId="9">
    <w:abstractNumId w:val="11"/>
  </w:num>
  <w:num w:numId="10">
    <w:abstractNumId w:val="10"/>
  </w:num>
  <w:num w:numId="11">
    <w:abstractNumId w:val="4"/>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00"/>
    <w:rsid w:val="00016557"/>
    <w:rsid w:val="00023C40"/>
    <w:rsid w:val="00033397"/>
    <w:rsid w:val="00040095"/>
    <w:rsid w:val="00057C6D"/>
    <w:rsid w:val="00064F5C"/>
    <w:rsid w:val="00073C9C"/>
    <w:rsid w:val="00080512"/>
    <w:rsid w:val="0008788E"/>
    <w:rsid w:val="00090468"/>
    <w:rsid w:val="00094568"/>
    <w:rsid w:val="000B7BCF"/>
    <w:rsid w:val="000C522B"/>
    <w:rsid w:val="000D58AB"/>
    <w:rsid w:val="000E3038"/>
    <w:rsid w:val="000F7A39"/>
    <w:rsid w:val="00112F1A"/>
    <w:rsid w:val="00126C26"/>
    <w:rsid w:val="00131869"/>
    <w:rsid w:val="00145075"/>
    <w:rsid w:val="00157B5D"/>
    <w:rsid w:val="001741A0"/>
    <w:rsid w:val="00175FA0"/>
    <w:rsid w:val="00194558"/>
    <w:rsid w:val="00194CD0"/>
    <w:rsid w:val="001A38E1"/>
    <w:rsid w:val="001A4D71"/>
    <w:rsid w:val="001B49C9"/>
    <w:rsid w:val="001C23F4"/>
    <w:rsid w:val="001C26AF"/>
    <w:rsid w:val="001C4F79"/>
    <w:rsid w:val="001D53C5"/>
    <w:rsid w:val="001F168B"/>
    <w:rsid w:val="001F19B3"/>
    <w:rsid w:val="001F7831"/>
    <w:rsid w:val="00204045"/>
    <w:rsid w:val="0020712B"/>
    <w:rsid w:val="0022606D"/>
    <w:rsid w:val="00227542"/>
    <w:rsid w:val="00231728"/>
    <w:rsid w:val="00250404"/>
    <w:rsid w:val="002610D8"/>
    <w:rsid w:val="002747EC"/>
    <w:rsid w:val="00276C88"/>
    <w:rsid w:val="00283894"/>
    <w:rsid w:val="002855BF"/>
    <w:rsid w:val="00290CDD"/>
    <w:rsid w:val="002A0699"/>
    <w:rsid w:val="002A770F"/>
    <w:rsid w:val="002C2637"/>
    <w:rsid w:val="002C401F"/>
    <w:rsid w:val="002D2D69"/>
    <w:rsid w:val="002E2D8C"/>
    <w:rsid w:val="002E3BBC"/>
    <w:rsid w:val="002F0D22"/>
    <w:rsid w:val="002F56BA"/>
    <w:rsid w:val="00316224"/>
    <w:rsid w:val="003172DC"/>
    <w:rsid w:val="00325AE3"/>
    <w:rsid w:val="00326069"/>
    <w:rsid w:val="003274F9"/>
    <w:rsid w:val="00331D4C"/>
    <w:rsid w:val="0035462D"/>
    <w:rsid w:val="0035576A"/>
    <w:rsid w:val="00357819"/>
    <w:rsid w:val="00364B41"/>
    <w:rsid w:val="00365519"/>
    <w:rsid w:val="0037525F"/>
    <w:rsid w:val="003809C7"/>
    <w:rsid w:val="00381E60"/>
    <w:rsid w:val="00383096"/>
    <w:rsid w:val="003A41EF"/>
    <w:rsid w:val="003B40AD"/>
    <w:rsid w:val="003C46C1"/>
    <w:rsid w:val="003C4E37"/>
    <w:rsid w:val="003D0F4E"/>
    <w:rsid w:val="003E16BE"/>
    <w:rsid w:val="003F30BE"/>
    <w:rsid w:val="003F4E28"/>
    <w:rsid w:val="004006E8"/>
    <w:rsid w:val="00401855"/>
    <w:rsid w:val="004139CD"/>
    <w:rsid w:val="00414FDC"/>
    <w:rsid w:val="00416DB7"/>
    <w:rsid w:val="00465587"/>
    <w:rsid w:val="00477455"/>
    <w:rsid w:val="00481D50"/>
    <w:rsid w:val="00482100"/>
    <w:rsid w:val="004A1F7B"/>
    <w:rsid w:val="004A6070"/>
    <w:rsid w:val="004C44D2"/>
    <w:rsid w:val="004D3578"/>
    <w:rsid w:val="004D380D"/>
    <w:rsid w:val="004D461A"/>
    <w:rsid w:val="004D4904"/>
    <w:rsid w:val="004E213A"/>
    <w:rsid w:val="004F7FF5"/>
    <w:rsid w:val="00503171"/>
    <w:rsid w:val="005036A3"/>
    <w:rsid w:val="00506C28"/>
    <w:rsid w:val="0051137F"/>
    <w:rsid w:val="00524D7C"/>
    <w:rsid w:val="005260B2"/>
    <w:rsid w:val="00526970"/>
    <w:rsid w:val="005302AA"/>
    <w:rsid w:val="00534DA0"/>
    <w:rsid w:val="00543E6C"/>
    <w:rsid w:val="0056473B"/>
    <w:rsid w:val="00565087"/>
    <w:rsid w:val="0056573F"/>
    <w:rsid w:val="0057391C"/>
    <w:rsid w:val="005B63AD"/>
    <w:rsid w:val="005E1328"/>
    <w:rsid w:val="00611566"/>
    <w:rsid w:val="006159F8"/>
    <w:rsid w:val="00646D99"/>
    <w:rsid w:val="00656910"/>
    <w:rsid w:val="00656EE3"/>
    <w:rsid w:val="006574C0"/>
    <w:rsid w:val="006B00CA"/>
    <w:rsid w:val="006B0410"/>
    <w:rsid w:val="006C66D8"/>
    <w:rsid w:val="006D1E24"/>
    <w:rsid w:val="006E1417"/>
    <w:rsid w:val="006F6A2C"/>
    <w:rsid w:val="007069DC"/>
    <w:rsid w:val="00710201"/>
    <w:rsid w:val="0072073A"/>
    <w:rsid w:val="00723714"/>
    <w:rsid w:val="007342B5"/>
    <w:rsid w:val="007346A1"/>
    <w:rsid w:val="00734A5B"/>
    <w:rsid w:val="00741E57"/>
    <w:rsid w:val="00744E76"/>
    <w:rsid w:val="007478DA"/>
    <w:rsid w:val="00755CB7"/>
    <w:rsid w:val="00756928"/>
    <w:rsid w:val="00757D40"/>
    <w:rsid w:val="007662B5"/>
    <w:rsid w:val="007665CE"/>
    <w:rsid w:val="00780A41"/>
    <w:rsid w:val="00781F0F"/>
    <w:rsid w:val="0078727C"/>
    <w:rsid w:val="0079049D"/>
    <w:rsid w:val="00793DC5"/>
    <w:rsid w:val="007A617C"/>
    <w:rsid w:val="007B18D8"/>
    <w:rsid w:val="007B1B12"/>
    <w:rsid w:val="007C095F"/>
    <w:rsid w:val="007C2DD0"/>
    <w:rsid w:val="007D1C5E"/>
    <w:rsid w:val="007F2E08"/>
    <w:rsid w:val="007F3E38"/>
    <w:rsid w:val="00802445"/>
    <w:rsid w:val="008028A4"/>
    <w:rsid w:val="00813245"/>
    <w:rsid w:val="00840DE0"/>
    <w:rsid w:val="008455B5"/>
    <w:rsid w:val="00846A4C"/>
    <w:rsid w:val="00857F27"/>
    <w:rsid w:val="0086354A"/>
    <w:rsid w:val="008662AE"/>
    <w:rsid w:val="008768CA"/>
    <w:rsid w:val="008770A1"/>
    <w:rsid w:val="00877EF9"/>
    <w:rsid w:val="00880559"/>
    <w:rsid w:val="00894969"/>
    <w:rsid w:val="00895A29"/>
    <w:rsid w:val="008B5306"/>
    <w:rsid w:val="008C224B"/>
    <w:rsid w:val="008C3057"/>
    <w:rsid w:val="008D01CF"/>
    <w:rsid w:val="008D2E4D"/>
    <w:rsid w:val="008E735E"/>
    <w:rsid w:val="008E79BF"/>
    <w:rsid w:val="008F396F"/>
    <w:rsid w:val="0090271F"/>
    <w:rsid w:val="00902DB9"/>
    <w:rsid w:val="0090466A"/>
    <w:rsid w:val="00923655"/>
    <w:rsid w:val="00936071"/>
    <w:rsid w:val="009375F5"/>
    <w:rsid w:val="00940212"/>
    <w:rsid w:val="00942EC2"/>
    <w:rsid w:val="0094393C"/>
    <w:rsid w:val="00954CD6"/>
    <w:rsid w:val="00957B9D"/>
    <w:rsid w:val="00961B32"/>
    <w:rsid w:val="00962509"/>
    <w:rsid w:val="0096753B"/>
    <w:rsid w:val="00970DB3"/>
    <w:rsid w:val="009718A3"/>
    <w:rsid w:val="00974BB0"/>
    <w:rsid w:val="00975331"/>
    <w:rsid w:val="00975BCD"/>
    <w:rsid w:val="009A0AF3"/>
    <w:rsid w:val="009B07CD"/>
    <w:rsid w:val="009B0CF1"/>
    <w:rsid w:val="009C19E9"/>
    <w:rsid w:val="009D74A6"/>
    <w:rsid w:val="00A10F02"/>
    <w:rsid w:val="00A14E5E"/>
    <w:rsid w:val="00A204CA"/>
    <w:rsid w:val="00A209D6"/>
    <w:rsid w:val="00A23A0B"/>
    <w:rsid w:val="00A24FA2"/>
    <w:rsid w:val="00A53724"/>
    <w:rsid w:val="00A54B2B"/>
    <w:rsid w:val="00A66340"/>
    <w:rsid w:val="00A82346"/>
    <w:rsid w:val="00A9393E"/>
    <w:rsid w:val="00A9671C"/>
    <w:rsid w:val="00AA1553"/>
    <w:rsid w:val="00AB54CB"/>
    <w:rsid w:val="00AD6DD7"/>
    <w:rsid w:val="00B05380"/>
    <w:rsid w:val="00B05962"/>
    <w:rsid w:val="00B15449"/>
    <w:rsid w:val="00B16C2F"/>
    <w:rsid w:val="00B27303"/>
    <w:rsid w:val="00B4059B"/>
    <w:rsid w:val="00B45D99"/>
    <w:rsid w:val="00B47463"/>
    <w:rsid w:val="00B47FD1"/>
    <w:rsid w:val="00B516BB"/>
    <w:rsid w:val="00B525F6"/>
    <w:rsid w:val="00B84DB2"/>
    <w:rsid w:val="00B93F16"/>
    <w:rsid w:val="00BA4512"/>
    <w:rsid w:val="00BB23D2"/>
    <w:rsid w:val="00BC3555"/>
    <w:rsid w:val="00BC4CB0"/>
    <w:rsid w:val="00BD5402"/>
    <w:rsid w:val="00C06997"/>
    <w:rsid w:val="00C10A4C"/>
    <w:rsid w:val="00C12B51"/>
    <w:rsid w:val="00C21051"/>
    <w:rsid w:val="00C24650"/>
    <w:rsid w:val="00C25465"/>
    <w:rsid w:val="00C25F10"/>
    <w:rsid w:val="00C306D5"/>
    <w:rsid w:val="00C31DBC"/>
    <w:rsid w:val="00C3238C"/>
    <w:rsid w:val="00C33079"/>
    <w:rsid w:val="00C334DB"/>
    <w:rsid w:val="00C83A13"/>
    <w:rsid w:val="00C8749E"/>
    <w:rsid w:val="00C9068C"/>
    <w:rsid w:val="00C92967"/>
    <w:rsid w:val="00C93F0D"/>
    <w:rsid w:val="00CA3D0C"/>
    <w:rsid w:val="00CA41F9"/>
    <w:rsid w:val="00CA5CEF"/>
    <w:rsid w:val="00CA654B"/>
    <w:rsid w:val="00CB12DD"/>
    <w:rsid w:val="00CB39D8"/>
    <w:rsid w:val="00CB72B8"/>
    <w:rsid w:val="00CD4C7B"/>
    <w:rsid w:val="00CF6E45"/>
    <w:rsid w:val="00D26997"/>
    <w:rsid w:val="00D33BE3"/>
    <w:rsid w:val="00D3792D"/>
    <w:rsid w:val="00D40BA7"/>
    <w:rsid w:val="00D46A43"/>
    <w:rsid w:val="00D55E47"/>
    <w:rsid w:val="00D62E19"/>
    <w:rsid w:val="00D67CD1"/>
    <w:rsid w:val="00D72372"/>
    <w:rsid w:val="00D738D6"/>
    <w:rsid w:val="00D80795"/>
    <w:rsid w:val="00D854BE"/>
    <w:rsid w:val="00D87E00"/>
    <w:rsid w:val="00D9134D"/>
    <w:rsid w:val="00D96D11"/>
    <w:rsid w:val="00D97207"/>
    <w:rsid w:val="00DA7A03"/>
    <w:rsid w:val="00DB0DB8"/>
    <w:rsid w:val="00DB0FE0"/>
    <w:rsid w:val="00DB1818"/>
    <w:rsid w:val="00DC309B"/>
    <w:rsid w:val="00DC4DA2"/>
    <w:rsid w:val="00DC5261"/>
    <w:rsid w:val="00DE25D2"/>
    <w:rsid w:val="00DF4221"/>
    <w:rsid w:val="00E324F5"/>
    <w:rsid w:val="00E46C08"/>
    <w:rsid w:val="00E471CF"/>
    <w:rsid w:val="00E62835"/>
    <w:rsid w:val="00E6306E"/>
    <w:rsid w:val="00E75B74"/>
    <w:rsid w:val="00E77645"/>
    <w:rsid w:val="00E83697"/>
    <w:rsid w:val="00E839A8"/>
    <w:rsid w:val="00E94A27"/>
    <w:rsid w:val="00E96DAF"/>
    <w:rsid w:val="00EA66C9"/>
    <w:rsid w:val="00EB29C7"/>
    <w:rsid w:val="00EB5374"/>
    <w:rsid w:val="00EC4A25"/>
    <w:rsid w:val="00EC667A"/>
    <w:rsid w:val="00ED7709"/>
    <w:rsid w:val="00EE6E6C"/>
    <w:rsid w:val="00EF1320"/>
    <w:rsid w:val="00F025A2"/>
    <w:rsid w:val="00F036E9"/>
    <w:rsid w:val="00F07388"/>
    <w:rsid w:val="00F2026E"/>
    <w:rsid w:val="00F2210A"/>
    <w:rsid w:val="00F30D20"/>
    <w:rsid w:val="00F35A74"/>
    <w:rsid w:val="00F37743"/>
    <w:rsid w:val="00F40336"/>
    <w:rsid w:val="00F42BC5"/>
    <w:rsid w:val="00F54A3D"/>
    <w:rsid w:val="00F54CB0"/>
    <w:rsid w:val="00F579CD"/>
    <w:rsid w:val="00F653B8"/>
    <w:rsid w:val="00F71B89"/>
    <w:rsid w:val="00F7353C"/>
    <w:rsid w:val="00F765E9"/>
    <w:rsid w:val="00F76F8F"/>
    <w:rsid w:val="00F941DF"/>
    <w:rsid w:val="00FA1266"/>
    <w:rsid w:val="00FB06F6"/>
    <w:rsid w:val="00FB2D76"/>
    <w:rsid w:val="00FB36FA"/>
    <w:rsid w:val="00FC1192"/>
    <w:rsid w:val="00FD6ED0"/>
    <w:rsid w:val="00FD7DB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24F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3BBC"/>
    <w:pPr>
      <w:ind w:left="720"/>
      <w:contextualSpacing/>
    </w:pPr>
  </w:style>
  <w:style w:type="paragraph" w:styleId="Caption">
    <w:name w:val="caption"/>
    <w:basedOn w:val="Normal"/>
    <w:next w:val="Normal"/>
    <w:unhideWhenUsed/>
    <w:qFormat/>
    <w:rsid w:val="00E94A27"/>
    <w:pPr>
      <w:spacing w:after="200"/>
    </w:pPr>
    <w:rPr>
      <w:i/>
      <w:iCs/>
      <w:color w:val="44546A" w:themeColor="text2"/>
      <w:sz w:val="18"/>
      <w:szCs w:val="18"/>
    </w:rPr>
  </w:style>
  <w:style w:type="character" w:customStyle="1" w:styleId="NOChar">
    <w:name w:val="NO Char"/>
    <w:link w:val="NO"/>
    <w:qFormat/>
    <w:rsid w:val="004A6070"/>
    <w:rPr>
      <w:lang w:eastAsia="en-US"/>
    </w:rPr>
  </w:style>
  <w:style w:type="character" w:customStyle="1" w:styleId="B1Char1">
    <w:name w:val="B1 Char1"/>
    <w:link w:val="B1"/>
    <w:qFormat/>
    <w:rsid w:val="004A6070"/>
    <w:rPr>
      <w:lang w:eastAsia="en-US"/>
    </w:rPr>
  </w:style>
  <w:style w:type="character" w:customStyle="1" w:styleId="B2Char">
    <w:name w:val="B2 Char"/>
    <w:link w:val="B2"/>
    <w:qFormat/>
    <w:rsid w:val="004A6070"/>
    <w:rPr>
      <w:lang w:eastAsia="en-US"/>
    </w:rPr>
  </w:style>
  <w:style w:type="character" w:styleId="CommentReference">
    <w:name w:val="annotation reference"/>
    <w:basedOn w:val="DefaultParagraphFont"/>
    <w:rsid w:val="005B63AD"/>
    <w:rPr>
      <w:sz w:val="16"/>
      <w:szCs w:val="16"/>
    </w:rPr>
  </w:style>
  <w:style w:type="paragraph" w:styleId="CommentText">
    <w:name w:val="annotation text"/>
    <w:basedOn w:val="Normal"/>
    <w:link w:val="CommentTextChar"/>
    <w:rsid w:val="005B63AD"/>
  </w:style>
  <w:style w:type="character" w:customStyle="1" w:styleId="CommentTextChar">
    <w:name w:val="Comment Text Char"/>
    <w:basedOn w:val="DefaultParagraphFont"/>
    <w:link w:val="CommentText"/>
    <w:rsid w:val="005B63AD"/>
    <w:rPr>
      <w:lang w:eastAsia="en-US"/>
    </w:rPr>
  </w:style>
  <w:style w:type="paragraph" w:styleId="CommentSubject">
    <w:name w:val="annotation subject"/>
    <w:basedOn w:val="CommentText"/>
    <w:next w:val="CommentText"/>
    <w:link w:val="CommentSubjectChar"/>
    <w:rsid w:val="005B63AD"/>
    <w:rPr>
      <w:b/>
      <w:bCs/>
    </w:rPr>
  </w:style>
  <w:style w:type="character" w:customStyle="1" w:styleId="CommentSubjectChar">
    <w:name w:val="Comment Subject Char"/>
    <w:basedOn w:val="CommentTextChar"/>
    <w:link w:val="CommentSubject"/>
    <w:rsid w:val="005B63A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5AIRPNAIUNRU-859666464-5607</_dlc_DocId>
    <_dlc_DocIdUrl xmlns="71c5aaf6-e6ce-465b-b873-5148d2a4c105">
      <Url>https://nokia.sharepoint.com/sites/c5g/e2earch/_layouts/15/DocIdRedir.aspx?ID=5AIRPNAIUNRU-859666464-5607</Url>
      <Description>5AIRPNAIUNRU-859666464-5607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schemas.microsoft.com/office/infopath/2007/PartnerControls"/>
    <ds:schemaRef ds:uri="83f22d2f-d16e-4be6-ad4f-29fa0b067c3c"/>
    <ds:schemaRef ds:uri="http://schemas.microsoft.com/office/2006/documentManagement/types"/>
    <ds:schemaRef ds:uri="http://schemas.microsoft.com/office/2006/metadata/properties"/>
    <ds:schemaRef ds:uri="71c5aaf6-e6ce-465b-b873-5148d2a4c105"/>
    <ds:schemaRef ds:uri="http://purl.org/dc/elements/1.1/"/>
    <ds:schemaRef ds:uri="http://purl.org/dc/terms/"/>
    <ds:schemaRef ds:uri="http://schemas.openxmlformats.org/package/2006/metadata/core-properties"/>
    <ds:schemaRef ds:uri="a3840f4f-04be-43d1-b2ef-6ff1382503c7"/>
    <ds:schemaRef ds:uri="3b34c8f0-1ef5-4d1e-bb66-517ce7fe7356"/>
    <ds:schemaRef ds:uri="http://www.w3.org/XML/1998/namespac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554A28-96EE-4E44-AEED-080F4308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3</Pages>
  <Words>1064</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6935</CharactersWithSpaces>
  <SharedDoc>false</SharedDoc>
  <HyperlinkBase/>
  <HLinks>
    <vt:vector size="12" baseType="variant">
      <vt:variant>
        <vt:i4>4784197</vt:i4>
      </vt:variant>
      <vt:variant>
        <vt:i4>3</vt:i4>
      </vt:variant>
      <vt:variant>
        <vt:i4>0</vt:i4>
      </vt:variant>
      <vt:variant>
        <vt:i4>5</vt:i4>
      </vt:variant>
      <vt:variant>
        <vt:lpwstr>http://www.3gpp.org/DynaReport/36331.htm</vt:lpwstr>
      </vt:variant>
      <vt:variant>
        <vt:lpwstr/>
      </vt:variant>
      <vt:variant>
        <vt:i4>4784203</vt:i4>
      </vt:variant>
      <vt:variant>
        <vt:i4>0</vt:i4>
      </vt:variant>
      <vt:variant>
        <vt:i4>0</vt:i4>
      </vt:variant>
      <vt:variant>
        <vt:i4>5</vt:i4>
      </vt:variant>
      <vt:variant>
        <vt:lpwstr>http://www.3gpp.org/DynaReport/38331.htm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
  <cp:lastModifiedBy>Nokia</cp:lastModifiedBy>
  <cp:revision>84</cp:revision>
  <dcterms:created xsi:type="dcterms:W3CDTF">2019-09-19T09:21:00Z</dcterms:created>
  <dcterms:modified xsi:type="dcterms:W3CDTF">2019-10-03T12:34:00Z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103c574e-9cee-4d3d-a1c3-65d345392f7e</vt:lpwstr>
  </property>
</Properties>
</file>